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7B" w:rsidRDefault="00BB677A" w:rsidP="00DA487B">
      <w:pPr>
        <w:rPr>
          <w:b/>
          <w:color w:val="1F4E79"/>
          <w:sz w:val="36"/>
        </w:rPr>
      </w:pPr>
      <w:r w:rsidRPr="00AD5EA1">
        <w:rPr>
          <w:b/>
          <w:color w:val="1F4E79"/>
          <w:sz w:val="36"/>
        </w:rPr>
        <w:t>South Hub Meeting Minutes</w:t>
      </w:r>
    </w:p>
    <w:p w:rsidR="00A74F9C" w:rsidRDefault="00A74F9C" w:rsidP="00DA487B">
      <w:pPr>
        <w:rPr>
          <w:color w:val="5B9BD5"/>
        </w:rPr>
      </w:pPr>
      <w:r>
        <w:rPr>
          <w:color w:val="5B9BD5"/>
        </w:rPr>
        <w:t>24</w:t>
      </w:r>
      <w:r w:rsidRPr="00A74F9C">
        <w:rPr>
          <w:color w:val="5B9BD5"/>
          <w:vertAlign w:val="superscript"/>
        </w:rPr>
        <w:t>th</w:t>
      </w:r>
      <w:r>
        <w:rPr>
          <w:color w:val="5B9BD5"/>
        </w:rPr>
        <w:t xml:space="preserve"> January 2021 – MS Teams</w:t>
      </w:r>
    </w:p>
    <w:p w:rsidR="00AD5EA1" w:rsidRDefault="0017388E" w:rsidP="00DA487B">
      <w:pPr>
        <w:rPr>
          <w:color w:val="5B9BD5"/>
        </w:rPr>
      </w:pPr>
    </w:p>
    <w:p w:rsidR="00AD5EA1" w:rsidRDefault="00BB677A" w:rsidP="00DA487B">
      <w:pPr>
        <w:rPr>
          <w:color w:val="5B9BD5"/>
        </w:rPr>
      </w:pPr>
      <w:r>
        <w:rPr>
          <w:color w:val="5B9BD5"/>
        </w:rPr>
        <w:t>Attendance</w:t>
      </w:r>
    </w:p>
    <w:tbl>
      <w:tblPr>
        <w:tblStyle w:val="TableGrid"/>
        <w:tblW w:w="0" w:type="auto"/>
        <w:tblLook w:val="04A0" w:firstRow="1" w:lastRow="0" w:firstColumn="1" w:lastColumn="0" w:noHBand="0" w:noVBand="1"/>
      </w:tblPr>
      <w:tblGrid>
        <w:gridCol w:w="3005"/>
        <w:gridCol w:w="5637"/>
      </w:tblGrid>
      <w:tr w:rsidR="00327495" w:rsidTr="00327495">
        <w:tc>
          <w:tcPr>
            <w:tcW w:w="3005" w:type="dxa"/>
          </w:tcPr>
          <w:p w:rsidR="00327495" w:rsidRPr="00AD5EA1" w:rsidRDefault="00327495" w:rsidP="00DA487B">
            <w:pPr>
              <w:rPr>
                <w:b/>
              </w:rPr>
            </w:pPr>
            <w:r>
              <w:rPr>
                <w:b/>
              </w:rPr>
              <w:t>Name</w:t>
            </w:r>
          </w:p>
        </w:tc>
        <w:tc>
          <w:tcPr>
            <w:tcW w:w="5637" w:type="dxa"/>
          </w:tcPr>
          <w:p w:rsidR="00327495" w:rsidRPr="00AD5EA1" w:rsidRDefault="00327495" w:rsidP="00DA487B">
            <w:pPr>
              <w:rPr>
                <w:b/>
              </w:rPr>
            </w:pPr>
            <w:r>
              <w:rPr>
                <w:b/>
              </w:rPr>
              <w:t>Organisation</w:t>
            </w:r>
          </w:p>
        </w:tc>
      </w:tr>
      <w:tr w:rsidR="00327495" w:rsidTr="00327495">
        <w:tc>
          <w:tcPr>
            <w:tcW w:w="3005" w:type="dxa"/>
          </w:tcPr>
          <w:p w:rsidR="00327495" w:rsidRDefault="00327495" w:rsidP="00DA487B">
            <w:r>
              <w:t>Lauren-Smith Birch</w:t>
            </w:r>
          </w:p>
        </w:tc>
        <w:tc>
          <w:tcPr>
            <w:tcW w:w="5637" w:type="dxa"/>
          </w:tcPr>
          <w:p w:rsidR="00327495" w:rsidRDefault="00327495" w:rsidP="00DA487B">
            <w:r>
              <w:t>University of Winchester</w:t>
            </w:r>
          </w:p>
        </w:tc>
      </w:tr>
      <w:tr w:rsidR="00327495" w:rsidTr="00327495">
        <w:tc>
          <w:tcPr>
            <w:tcW w:w="3005" w:type="dxa"/>
          </w:tcPr>
          <w:p w:rsidR="00327495" w:rsidRDefault="00327495" w:rsidP="00DA487B">
            <w:r>
              <w:t>Sarah Collins</w:t>
            </w:r>
          </w:p>
        </w:tc>
        <w:tc>
          <w:tcPr>
            <w:tcW w:w="5637" w:type="dxa"/>
          </w:tcPr>
          <w:p w:rsidR="00327495" w:rsidRDefault="00327495" w:rsidP="00DA487B">
            <w:r>
              <w:t>University of Winchester</w:t>
            </w:r>
          </w:p>
        </w:tc>
      </w:tr>
      <w:tr w:rsidR="00327495" w:rsidTr="00327495">
        <w:tc>
          <w:tcPr>
            <w:tcW w:w="3005" w:type="dxa"/>
          </w:tcPr>
          <w:p w:rsidR="00327495" w:rsidRDefault="00C03D74" w:rsidP="00C03D74">
            <w:r>
              <w:t xml:space="preserve">Tian Barratt </w:t>
            </w:r>
          </w:p>
        </w:tc>
        <w:tc>
          <w:tcPr>
            <w:tcW w:w="5637" w:type="dxa"/>
          </w:tcPr>
          <w:p w:rsidR="00327495" w:rsidRDefault="00327495" w:rsidP="00DA487B">
            <w:r>
              <w:t>University of Portsmouth</w:t>
            </w:r>
          </w:p>
        </w:tc>
      </w:tr>
      <w:tr w:rsidR="00327495" w:rsidTr="00327495">
        <w:tc>
          <w:tcPr>
            <w:tcW w:w="3005" w:type="dxa"/>
          </w:tcPr>
          <w:p w:rsidR="00327495" w:rsidRDefault="00C03D74" w:rsidP="00DA487B">
            <w:r>
              <w:t>Alex Blower</w:t>
            </w:r>
          </w:p>
        </w:tc>
        <w:tc>
          <w:tcPr>
            <w:tcW w:w="5637" w:type="dxa"/>
          </w:tcPr>
          <w:p w:rsidR="00327495" w:rsidRDefault="00327495" w:rsidP="00DA487B">
            <w:r>
              <w:t>University of Portsmouth</w:t>
            </w:r>
          </w:p>
        </w:tc>
      </w:tr>
      <w:tr w:rsidR="00C03D74" w:rsidTr="00327495">
        <w:tc>
          <w:tcPr>
            <w:tcW w:w="3005" w:type="dxa"/>
          </w:tcPr>
          <w:p w:rsidR="00C03D74" w:rsidRDefault="00F909D5" w:rsidP="00DA487B">
            <w:r>
              <w:t>Kerry Sharpe</w:t>
            </w:r>
          </w:p>
        </w:tc>
        <w:tc>
          <w:tcPr>
            <w:tcW w:w="5637" w:type="dxa"/>
          </w:tcPr>
          <w:p w:rsidR="00C03D74" w:rsidRDefault="00A74F9C" w:rsidP="00DA487B">
            <w:proofErr w:type="spellStart"/>
            <w:r>
              <w:t>Rowner</w:t>
            </w:r>
            <w:proofErr w:type="spellEnd"/>
            <w:r>
              <w:t xml:space="preserve"> Junior School</w:t>
            </w:r>
            <w:bookmarkStart w:id="0" w:name="_GoBack"/>
            <w:bookmarkEnd w:id="0"/>
          </w:p>
        </w:tc>
      </w:tr>
      <w:tr w:rsidR="007D4401" w:rsidTr="00327495">
        <w:tc>
          <w:tcPr>
            <w:tcW w:w="3005" w:type="dxa"/>
          </w:tcPr>
          <w:p w:rsidR="007D4401" w:rsidRDefault="007D4401" w:rsidP="00DA487B">
            <w:r>
              <w:t>Sarah Roche</w:t>
            </w:r>
          </w:p>
        </w:tc>
        <w:tc>
          <w:tcPr>
            <w:tcW w:w="5637" w:type="dxa"/>
          </w:tcPr>
          <w:p w:rsidR="007D4401" w:rsidRDefault="00A74F9C" w:rsidP="00DA487B">
            <w:r>
              <w:t>Hampshire County Council</w:t>
            </w:r>
          </w:p>
        </w:tc>
      </w:tr>
      <w:tr w:rsidR="007D4401" w:rsidTr="00327495">
        <w:tc>
          <w:tcPr>
            <w:tcW w:w="3005" w:type="dxa"/>
          </w:tcPr>
          <w:p w:rsidR="007D4401" w:rsidRDefault="007D4401" w:rsidP="00DA487B">
            <w:r>
              <w:t>Hope McAdams</w:t>
            </w:r>
          </w:p>
        </w:tc>
        <w:tc>
          <w:tcPr>
            <w:tcW w:w="5637" w:type="dxa"/>
          </w:tcPr>
          <w:p w:rsidR="007D4401" w:rsidRDefault="00A74F9C" w:rsidP="00DA487B">
            <w:r>
              <w:t>University of Sussex</w:t>
            </w:r>
          </w:p>
        </w:tc>
      </w:tr>
      <w:tr w:rsidR="007D4401" w:rsidTr="00327495">
        <w:tc>
          <w:tcPr>
            <w:tcW w:w="3005" w:type="dxa"/>
          </w:tcPr>
          <w:p w:rsidR="007D4401" w:rsidRDefault="00A74F9C" w:rsidP="00DA487B">
            <w:proofErr w:type="spellStart"/>
            <w:r>
              <w:t>Charmain</w:t>
            </w:r>
            <w:proofErr w:type="spellEnd"/>
            <w:r>
              <w:t xml:space="preserve"> Hickman</w:t>
            </w:r>
          </w:p>
        </w:tc>
        <w:tc>
          <w:tcPr>
            <w:tcW w:w="5637" w:type="dxa"/>
          </w:tcPr>
          <w:p w:rsidR="007D4401" w:rsidRDefault="00A74F9C" w:rsidP="00DA487B">
            <w:r>
              <w:t>Armed Forces Education Trust</w:t>
            </w:r>
          </w:p>
        </w:tc>
      </w:tr>
      <w:tr w:rsidR="00A74F9C" w:rsidTr="00327495">
        <w:tc>
          <w:tcPr>
            <w:tcW w:w="3005" w:type="dxa"/>
          </w:tcPr>
          <w:p w:rsidR="00A74F9C" w:rsidRDefault="00A74F9C" w:rsidP="00DA487B">
            <w:r>
              <w:t xml:space="preserve">Lesley </w:t>
            </w:r>
            <w:proofErr w:type="spellStart"/>
            <w:r>
              <w:t>Ure</w:t>
            </w:r>
            <w:proofErr w:type="spellEnd"/>
          </w:p>
        </w:tc>
        <w:tc>
          <w:tcPr>
            <w:tcW w:w="5637" w:type="dxa"/>
          </w:tcPr>
          <w:p w:rsidR="00A74F9C" w:rsidRDefault="00A74F9C" w:rsidP="00DA487B">
            <w:r>
              <w:t>Gosport &amp; Fareham MAT</w:t>
            </w:r>
          </w:p>
        </w:tc>
      </w:tr>
    </w:tbl>
    <w:p w:rsidR="00AD5EA1" w:rsidRDefault="0017388E" w:rsidP="00DA487B"/>
    <w:p w:rsidR="00AD5EA1" w:rsidRDefault="00BB677A" w:rsidP="00AD5EA1">
      <w:pPr>
        <w:rPr>
          <w:color w:val="5B9BD5"/>
        </w:rPr>
      </w:pPr>
      <w:r>
        <w:rPr>
          <w:color w:val="5B9BD5"/>
        </w:rPr>
        <w:t>Apologies</w:t>
      </w:r>
    </w:p>
    <w:tbl>
      <w:tblPr>
        <w:tblStyle w:val="TableGrid"/>
        <w:tblW w:w="0" w:type="auto"/>
        <w:tblLook w:val="04A0" w:firstRow="1" w:lastRow="0" w:firstColumn="1" w:lastColumn="0" w:noHBand="0" w:noVBand="1"/>
      </w:tblPr>
      <w:tblGrid>
        <w:gridCol w:w="3005"/>
        <w:gridCol w:w="5637"/>
      </w:tblGrid>
      <w:tr w:rsidR="00327495" w:rsidTr="00327495">
        <w:tc>
          <w:tcPr>
            <w:tcW w:w="3005" w:type="dxa"/>
          </w:tcPr>
          <w:p w:rsidR="00327495" w:rsidRPr="00AD5EA1" w:rsidRDefault="00327495" w:rsidP="00AD5EA1">
            <w:pPr>
              <w:rPr>
                <w:b/>
              </w:rPr>
            </w:pPr>
            <w:r>
              <w:rPr>
                <w:b/>
              </w:rPr>
              <w:t>Name</w:t>
            </w:r>
          </w:p>
        </w:tc>
        <w:tc>
          <w:tcPr>
            <w:tcW w:w="5637" w:type="dxa"/>
          </w:tcPr>
          <w:p w:rsidR="00327495" w:rsidRPr="00AD5EA1" w:rsidRDefault="00327495" w:rsidP="00AD5EA1">
            <w:pPr>
              <w:rPr>
                <w:b/>
              </w:rPr>
            </w:pPr>
            <w:r>
              <w:rPr>
                <w:b/>
              </w:rPr>
              <w:t>Organisation</w:t>
            </w:r>
          </w:p>
        </w:tc>
      </w:tr>
      <w:tr w:rsidR="00327495" w:rsidTr="00327495">
        <w:tc>
          <w:tcPr>
            <w:tcW w:w="3005" w:type="dxa"/>
          </w:tcPr>
          <w:p w:rsidR="00327495" w:rsidRDefault="00F909D5" w:rsidP="00F909D5">
            <w:r>
              <w:t>Debbie Cook</w:t>
            </w:r>
          </w:p>
        </w:tc>
        <w:tc>
          <w:tcPr>
            <w:tcW w:w="5637" w:type="dxa"/>
          </w:tcPr>
          <w:p w:rsidR="00327495" w:rsidRDefault="00F909D5" w:rsidP="00AD5EA1">
            <w:r>
              <w:t>Talavera Infant School</w:t>
            </w:r>
          </w:p>
        </w:tc>
      </w:tr>
    </w:tbl>
    <w:p w:rsidR="00AD5EA1" w:rsidRPr="00AD5EA1" w:rsidRDefault="0017388E" w:rsidP="00DA487B"/>
    <w:tbl>
      <w:tblPr>
        <w:tblStyle w:val="TableGrid"/>
        <w:tblW w:w="0" w:type="auto"/>
        <w:tblLook w:val="04A0" w:firstRow="1" w:lastRow="0" w:firstColumn="1" w:lastColumn="0" w:noHBand="0" w:noVBand="1"/>
      </w:tblPr>
      <w:tblGrid>
        <w:gridCol w:w="1129"/>
        <w:gridCol w:w="5934"/>
        <w:gridCol w:w="924"/>
        <w:gridCol w:w="1029"/>
      </w:tblGrid>
      <w:tr w:rsidR="00AD5EA1" w:rsidTr="001C6C4D">
        <w:tc>
          <w:tcPr>
            <w:tcW w:w="1129" w:type="dxa"/>
            <w:vMerge w:val="restart"/>
            <w:shd w:val="clear" w:color="auto" w:fill="002060"/>
          </w:tcPr>
          <w:p w:rsidR="00AD5EA1" w:rsidRPr="00AD5EA1" w:rsidRDefault="00BB677A" w:rsidP="00AD5EA1">
            <w:pPr>
              <w:rPr>
                <w:b/>
              </w:rPr>
            </w:pPr>
            <w:r w:rsidRPr="00AD5EA1">
              <w:rPr>
                <w:b/>
              </w:rPr>
              <w:t>Item ref.</w:t>
            </w:r>
          </w:p>
        </w:tc>
        <w:tc>
          <w:tcPr>
            <w:tcW w:w="5934" w:type="dxa"/>
            <w:vMerge w:val="restart"/>
            <w:shd w:val="clear" w:color="auto" w:fill="002060"/>
          </w:tcPr>
          <w:p w:rsidR="00AD5EA1" w:rsidRPr="00AD5EA1" w:rsidRDefault="00BB677A" w:rsidP="00AD5EA1">
            <w:pPr>
              <w:rPr>
                <w:b/>
              </w:rPr>
            </w:pPr>
            <w:r w:rsidRPr="00AD5EA1">
              <w:rPr>
                <w:b/>
              </w:rPr>
              <w:t>Description</w:t>
            </w:r>
          </w:p>
        </w:tc>
        <w:tc>
          <w:tcPr>
            <w:tcW w:w="1953" w:type="dxa"/>
            <w:gridSpan w:val="2"/>
            <w:shd w:val="clear" w:color="auto" w:fill="002060"/>
          </w:tcPr>
          <w:p w:rsidR="00AD5EA1" w:rsidRPr="00AD5EA1" w:rsidRDefault="00BB677A" w:rsidP="00DA487B">
            <w:pPr>
              <w:rPr>
                <w:b/>
              </w:rPr>
            </w:pPr>
            <w:r w:rsidRPr="00AD5EA1">
              <w:rPr>
                <w:b/>
              </w:rPr>
              <w:t>Actions</w:t>
            </w:r>
          </w:p>
        </w:tc>
      </w:tr>
      <w:tr w:rsidR="00AD5EA1" w:rsidTr="001C6C4D">
        <w:tc>
          <w:tcPr>
            <w:tcW w:w="0" w:type="auto"/>
            <w:vMerge/>
          </w:tcPr>
          <w:p w:rsidR="000A2648" w:rsidRDefault="000A2648"/>
        </w:tc>
        <w:tc>
          <w:tcPr>
            <w:tcW w:w="0" w:type="auto"/>
            <w:vMerge/>
          </w:tcPr>
          <w:p w:rsidR="000A2648" w:rsidRDefault="000A2648"/>
        </w:tc>
        <w:tc>
          <w:tcPr>
            <w:tcW w:w="924" w:type="dxa"/>
            <w:shd w:val="clear" w:color="auto" w:fill="002060"/>
          </w:tcPr>
          <w:p w:rsidR="00AD5EA1" w:rsidRPr="00AD5EA1" w:rsidRDefault="00BB677A" w:rsidP="00AD5EA1">
            <w:pPr>
              <w:rPr>
                <w:b/>
              </w:rPr>
            </w:pPr>
            <w:r w:rsidRPr="00AD5EA1">
              <w:rPr>
                <w:b/>
              </w:rPr>
              <w:t>Who</w:t>
            </w:r>
          </w:p>
        </w:tc>
        <w:tc>
          <w:tcPr>
            <w:tcW w:w="1029" w:type="dxa"/>
            <w:shd w:val="clear" w:color="auto" w:fill="002060"/>
          </w:tcPr>
          <w:p w:rsidR="00AD5EA1" w:rsidRPr="00AD5EA1" w:rsidRDefault="00BB677A" w:rsidP="00AD5EA1">
            <w:pPr>
              <w:rPr>
                <w:b/>
              </w:rPr>
            </w:pPr>
            <w:r w:rsidRPr="00AD5EA1">
              <w:rPr>
                <w:b/>
              </w:rPr>
              <w:t>Deadline</w:t>
            </w:r>
          </w:p>
        </w:tc>
      </w:tr>
      <w:tr w:rsidR="00AD5EA1" w:rsidTr="001C6C4D">
        <w:tc>
          <w:tcPr>
            <w:tcW w:w="1129" w:type="dxa"/>
          </w:tcPr>
          <w:p w:rsidR="00AD5EA1" w:rsidRDefault="0017388E" w:rsidP="00AD5EA1"/>
        </w:tc>
        <w:tc>
          <w:tcPr>
            <w:tcW w:w="5934" w:type="dxa"/>
          </w:tcPr>
          <w:p w:rsidR="00AD5EA1" w:rsidRDefault="00B73184" w:rsidP="009863A7">
            <w:r>
              <w:rPr>
                <w:b/>
              </w:rPr>
              <w:t xml:space="preserve">Welcome by </w:t>
            </w:r>
            <w:r w:rsidR="009863A7">
              <w:rPr>
                <w:b/>
              </w:rPr>
              <w:t>South Hub Co-Lead team</w:t>
            </w:r>
          </w:p>
        </w:tc>
        <w:tc>
          <w:tcPr>
            <w:tcW w:w="924" w:type="dxa"/>
          </w:tcPr>
          <w:p w:rsidR="00AD5EA1" w:rsidRDefault="0017388E" w:rsidP="00AD5EA1"/>
        </w:tc>
        <w:tc>
          <w:tcPr>
            <w:tcW w:w="1029" w:type="dxa"/>
          </w:tcPr>
          <w:p w:rsidR="00AD5EA1" w:rsidRDefault="0017388E" w:rsidP="00AD5EA1"/>
        </w:tc>
      </w:tr>
      <w:tr w:rsidR="00B73184" w:rsidTr="001C6C4D">
        <w:tc>
          <w:tcPr>
            <w:tcW w:w="1129" w:type="dxa"/>
          </w:tcPr>
          <w:p w:rsidR="00B73184" w:rsidRDefault="00B73184" w:rsidP="00AD5EA1">
            <w:r>
              <w:t>1</w:t>
            </w:r>
          </w:p>
        </w:tc>
        <w:tc>
          <w:tcPr>
            <w:tcW w:w="5934" w:type="dxa"/>
          </w:tcPr>
          <w:p w:rsidR="00B73184" w:rsidRDefault="007D4401" w:rsidP="00AD5EA1">
            <w:r>
              <w:rPr>
                <w:b/>
              </w:rPr>
              <w:t>Thriving Lives Toolkit ‘Train the Trainer’ project:</w:t>
            </w:r>
          </w:p>
          <w:p w:rsidR="009863A7" w:rsidRDefault="007D4401" w:rsidP="009863A7">
            <w:pPr>
              <w:pStyle w:val="ListParagraph"/>
              <w:numPr>
                <w:ilvl w:val="0"/>
                <w:numId w:val="21"/>
              </w:numPr>
            </w:pPr>
            <w:r>
              <w:t xml:space="preserve">Southern Universities Network </w:t>
            </w:r>
            <w:r w:rsidR="009863A7">
              <w:t xml:space="preserve">had recently </w:t>
            </w:r>
            <w:r>
              <w:t xml:space="preserve">met with the Alliance’s central team to discuss roll-out of a ‘Train the Trainer’ </w:t>
            </w:r>
            <w:r w:rsidR="009863A7">
              <w:t>project</w:t>
            </w:r>
          </w:p>
          <w:p w:rsidR="009863A7" w:rsidRDefault="009863A7" w:rsidP="009863A7">
            <w:pPr>
              <w:pStyle w:val="ListParagraph"/>
              <w:numPr>
                <w:ilvl w:val="0"/>
                <w:numId w:val="21"/>
              </w:numPr>
            </w:pPr>
            <w:r>
              <w:t>SUN staff will shortly undertake training about the Thriving Lives Toolkit with the Alliance’s central team to equip them to work with target secondary schools to use the toolkit</w:t>
            </w:r>
          </w:p>
          <w:p w:rsidR="009863A7" w:rsidRDefault="009863A7" w:rsidP="009863A7">
            <w:pPr>
              <w:pStyle w:val="ListParagraph"/>
              <w:numPr>
                <w:ilvl w:val="0"/>
                <w:numId w:val="21"/>
              </w:numPr>
            </w:pPr>
            <w:r>
              <w:t xml:space="preserve">Likely to </w:t>
            </w:r>
            <w:r w:rsidR="00745014">
              <w:t>have two strands of delivery: a</w:t>
            </w:r>
            <w:r>
              <w:t xml:space="preserve"> </w:t>
            </w:r>
            <w:r w:rsidR="00745014">
              <w:t>1-hour</w:t>
            </w:r>
            <w:r>
              <w:t xml:space="preserve"> online webinar </w:t>
            </w:r>
            <w:r w:rsidR="00745014">
              <w:t xml:space="preserve">and a more bespoke approach on developing an action plan </w:t>
            </w:r>
          </w:p>
          <w:p w:rsidR="00745014" w:rsidRDefault="00745014" w:rsidP="00745014">
            <w:pPr>
              <w:pStyle w:val="ListParagraph"/>
              <w:numPr>
                <w:ilvl w:val="0"/>
                <w:numId w:val="21"/>
              </w:numPr>
            </w:pPr>
            <w:r>
              <w:t>Delivery likely to take place in May onwards following the South Hub conference in April</w:t>
            </w:r>
          </w:p>
          <w:p w:rsidR="00745014" w:rsidRDefault="00745014" w:rsidP="00745014">
            <w:pPr>
              <w:pStyle w:val="ListParagraph"/>
              <w:numPr>
                <w:ilvl w:val="0"/>
                <w:numId w:val="21"/>
              </w:numPr>
            </w:pPr>
            <w:r>
              <w:t xml:space="preserve">SUN delivery team, central team and Hub Co-Leads to keep in contact to discuss how activities can further complement each other </w:t>
            </w:r>
          </w:p>
          <w:p w:rsidR="00056AB3" w:rsidRPr="00B73184" w:rsidRDefault="00056AB3" w:rsidP="00056AB3"/>
        </w:tc>
        <w:tc>
          <w:tcPr>
            <w:tcW w:w="924" w:type="dxa"/>
          </w:tcPr>
          <w:p w:rsidR="00B73184" w:rsidRDefault="00B73184" w:rsidP="00AD5EA1"/>
        </w:tc>
        <w:tc>
          <w:tcPr>
            <w:tcW w:w="1029" w:type="dxa"/>
          </w:tcPr>
          <w:p w:rsidR="00B73184" w:rsidRDefault="00B73184" w:rsidP="00AD5EA1"/>
        </w:tc>
      </w:tr>
      <w:tr w:rsidR="001C6C4D" w:rsidTr="001C6C4D">
        <w:tc>
          <w:tcPr>
            <w:tcW w:w="1129" w:type="dxa"/>
          </w:tcPr>
          <w:p w:rsidR="001C6C4D" w:rsidRDefault="001C6C4D" w:rsidP="001C6C4D">
            <w:r>
              <w:t>2</w:t>
            </w:r>
          </w:p>
        </w:tc>
        <w:tc>
          <w:tcPr>
            <w:tcW w:w="5934" w:type="dxa"/>
          </w:tcPr>
          <w:p w:rsidR="001C6C4D" w:rsidRDefault="001C6C4D" w:rsidP="001C6C4D">
            <w:pPr>
              <w:rPr>
                <w:b/>
              </w:rPr>
            </w:pPr>
            <w:r>
              <w:rPr>
                <w:b/>
              </w:rPr>
              <w:t>South Hub’s Thriving Lives Toolkit Conference – 21</w:t>
            </w:r>
            <w:r w:rsidRPr="007D4401">
              <w:rPr>
                <w:b/>
                <w:vertAlign w:val="superscript"/>
              </w:rPr>
              <w:t>st</w:t>
            </w:r>
            <w:r>
              <w:rPr>
                <w:b/>
              </w:rPr>
              <w:t xml:space="preserve"> April 2021</w:t>
            </w:r>
          </w:p>
          <w:p w:rsidR="001C6C4D" w:rsidRDefault="001C6C4D" w:rsidP="001C6C4D">
            <w:pPr>
              <w:pStyle w:val="ListParagraph"/>
              <w:numPr>
                <w:ilvl w:val="0"/>
                <w:numId w:val="11"/>
              </w:numPr>
            </w:pPr>
            <w:r>
              <w:t>Co-Leads introduced draft timetable for the conference, based on the template developed by the Alliance’s central team which all Hubs will be drawing on</w:t>
            </w:r>
          </w:p>
          <w:p w:rsidR="001C6C4D" w:rsidRDefault="001C6C4D" w:rsidP="001C6C4D">
            <w:pPr>
              <w:pStyle w:val="ListParagraph"/>
              <w:numPr>
                <w:ilvl w:val="0"/>
                <w:numId w:val="11"/>
              </w:numPr>
            </w:pPr>
            <w:r>
              <w:lastRenderedPageBreak/>
              <w:t>Discussed the opportunities for break-out groups within Session 3 (focusing on the footprint of Service children within local area). One option might be to consider whether there could be Service specific or smaller geographically focused breakout groups. Co-Leads to discuss capacity to facilitate this; decision to be partially based on platform’s capability</w:t>
            </w:r>
          </w:p>
          <w:p w:rsidR="001C6C4D" w:rsidRDefault="001C6C4D" w:rsidP="001C6C4D">
            <w:pPr>
              <w:pStyle w:val="ListParagraph"/>
              <w:numPr>
                <w:ilvl w:val="0"/>
                <w:numId w:val="11"/>
              </w:numPr>
            </w:pPr>
            <w:r>
              <w:t xml:space="preserve">Discussed whether we could look to engage FE providers in the conference. The toolkit has been designed for schools at this point and the Alliance’s central team is scoping out an FE-specific project to take place in the next year. Therefore, for the time being, this conference may not be relevant for FE providers. </w:t>
            </w:r>
          </w:p>
          <w:p w:rsidR="001C6C4D" w:rsidRPr="00B73184" w:rsidRDefault="001C6C4D" w:rsidP="001C6C4D">
            <w:pPr>
              <w:pStyle w:val="ListParagraph"/>
              <w:numPr>
                <w:ilvl w:val="0"/>
                <w:numId w:val="11"/>
              </w:numPr>
            </w:pPr>
            <w:r>
              <w:t>Discussion of how best to market the conference to maximise reach to as wide an audience as possible. Initial sign-up is strong, partly as a result of DCYP sharing with heads across Somerset, Wiltshire, Hampshire, Surrey, Sussex and Kent. Flyer available to be shared with any attendees who may have networks who would be interested in attending (</w:t>
            </w:r>
            <w:proofErr w:type="spellStart"/>
            <w:r>
              <w:t>ie</w:t>
            </w:r>
            <w:proofErr w:type="spellEnd"/>
            <w:r>
              <w:t xml:space="preserve">, Governor Hub, Portsmouth Education Partnership). Co-leads to meet in Feb, once workshop providers have been confirmed, and will review whether further marketing materials would be useful/develop any required. </w:t>
            </w:r>
          </w:p>
        </w:tc>
        <w:tc>
          <w:tcPr>
            <w:tcW w:w="924" w:type="dxa"/>
          </w:tcPr>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r>
              <w:t>Co-leads</w:t>
            </w:r>
          </w:p>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r>
              <w:t>Co-leads</w:t>
            </w:r>
          </w:p>
        </w:tc>
        <w:tc>
          <w:tcPr>
            <w:tcW w:w="1029" w:type="dxa"/>
          </w:tcPr>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r>
              <w:t>Next Co-Leads planning meeting</w:t>
            </w:r>
          </w:p>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p w:rsidR="001C6C4D" w:rsidRDefault="001C6C4D" w:rsidP="001C6C4D">
            <w:r>
              <w:t>Next Co-Leads planning meeting</w:t>
            </w:r>
          </w:p>
        </w:tc>
      </w:tr>
      <w:tr w:rsidR="001C6C4D" w:rsidTr="001C6C4D">
        <w:tc>
          <w:tcPr>
            <w:tcW w:w="1129" w:type="dxa"/>
          </w:tcPr>
          <w:p w:rsidR="001C6C4D" w:rsidRDefault="00F25812" w:rsidP="001C6C4D">
            <w:r>
              <w:lastRenderedPageBreak/>
              <w:t>3</w:t>
            </w:r>
          </w:p>
        </w:tc>
        <w:tc>
          <w:tcPr>
            <w:tcW w:w="5934" w:type="dxa"/>
          </w:tcPr>
          <w:p w:rsidR="001C6C4D" w:rsidRDefault="001C6C4D" w:rsidP="001C6C4D">
            <w:pPr>
              <w:rPr>
                <w:b/>
              </w:rPr>
            </w:pPr>
            <w:r>
              <w:rPr>
                <w:b/>
              </w:rPr>
              <w:t>Student Facing Activity</w:t>
            </w:r>
          </w:p>
          <w:p w:rsidR="001C6C4D" w:rsidRPr="001C6C4D" w:rsidRDefault="001C6C4D" w:rsidP="001C6C4D">
            <w:pPr>
              <w:pStyle w:val="ListParagraph"/>
              <w:numPr>
                <w:ilvl w:val="0"/>
                <w:numId w:val="21"/>
              </w:numPr>
              <w:rPr>
                <w:b/>
              </w:rPr>
            </w:pPr>
            <w:proofErr w:type="spellStart"/>
            <w:r>
              <w:t>UoP</w:t>
            </w:r>
            <w:proofErr w:type="spellEnd"/>
            <w:r>
              <w:t xml:space="preserve"> are considering June for some form of online activity in June in place of face-to-face Creative Forces. Both universities are keen to ensure that there is some form of activity offered this year. Agreed that the two institutions will scope out running a joint activity for the 2020-21 academic year. </w:t>
            </w:r>
          </w:p>
          <w:p w:rsidR="001C6C4D" w:rsidRPr="009863A7" w:rsidRDefault="001C6C4D" w:rsidP="001C6C4D">
            <w:pPr>
              <w:pStyle w:val="ListParagraph"/>
              <w:numPr>
                <w:ilvl w:val="0"/>
                <w:numId w:val="21"/>
              </w:numPr>
              <w:rPr>
                <w:b/>
              </w:rPr>
            </w:pPr>
            <w:r>
              <w:t xml:space="preserve">Discussion of conducting some lobbying activity with FE providers to raise awareness of Service children’s experiences, possibly related to the Armed Forces Covenant similar to the HE provider lobbying that SCiP/MoD conducted by writing to all Vice-Chancellors or equivalents. </w:t>
            </w:r>
          </w:p>
          <w:p w:rsidR="001C6C4D" w:rsidRDefault="001C6C4D" w:rsidP="001C6C4D">
            <w:pPr>
              <w:pStyle w:val="ListParagraph"/>
            </w:pPr>
          </w:p>
        </w:tc>
        <w:tc>
          <w:tcPr>
            <w:tcW w:w="924" w:type="dxa"/>
          </w:tcPr>
          <w:p w:rsidR="001C6C4D" w:rsidRDefault="001C6C4D" w:rsidP="001C6C4D"/>
          <w:p w:rsidR="001C6C4D" w:rsidRDefault="001C6C4D" w:rsidP="001C6C4D">
            <w:r>
              <w:t>Co-Leads</w:t>
            </w:r>
          </w:p>
        </w:tc>
        <w:tc>
          <w:tcPr>
            <w:tcW w:w="1029" w:type="dxa"/>
          </w:tcPr>
          <w:p w:rsidR="001C6C4D" w:rsidRDefault="001C6C4D" w:rsidP="001C6C4D"/>
          <w:p w:rsidR="001C6C4D" w:rsidRDefault="001C6C4D" w:rsidP="001C6C4D">
            <w:r>
              <w:t>Next Co-Lead Planning Meet</w:t>
            </w:r>
          </w:p>
        </w:tc>
      </w:tr>
      <w:tr w:rsidR="001C6C4D" w:rsidTr="001C6C4D">
        <w:tc>
          <w:tcPr>
            <w:tcW w:w="1129" w:type="dxa"/>
          </w:tcPr>
          <w:p w:rsidR="001C6C4D" w:rsidRDefault="00F25812" w:rsidP="001C6C4D">
            <w:r>
              <w:t>4</w:t>
            </w:r>
          </w:p>
        </w:tc>
        <w:tc>
          <w:tcPr>
            <w:tcW w:w="5934" w:type="dxa"/>
          </w:tcPr>
          <w:p w:rsidR="001C6C4D" w:rsidRPr="00F25812" w:rsidRDefault="001C6C4D" w:rsidP="001C6C4D">
            <w:pPr>
              <w:rPr>
                <w:b/>
              </w:rPr>
            </w:pPr>
            <w:r w:rsidRPr="00B73184">
              <w:rPr>
                <w:b/>
              </w:rPr>
              <w:t>AOB</w:t>
            </w:r>
          </w:p>
        </w:tc>
        <w:tc>
          <w:tcPr>
            <w:tcW w:w="924" w:type="dxa"/>
          </w:tcPr>
          <w:p w:rsidR="001C6C4D" w:rsidRDefault="001C6C4D" w:rsidP="001C6C4D"/>
        </w:tc>
        <w:tc>
          <w:tcPr>
            <w:tcW w:w="1029" w:type="dxa"/>
          </w:tcPr>
          <w:p w:rsidR="001C6C4D" w:rsidRDefault="001C6C4D" w:rsidP="001C6C4D"/>
        </w:tc>
      </w:tr>
    </w:tbl>
    <w:p w:rsidR="00DA487B" w:rsidRDefault="0017388E" w:rsidP="00DA487B"/>
    <w:p w:rsidR="00DA487B" w:rsidRPr="00DA487B" w:rsidRDefault="0017388E" w:rsidP="00DA487B"/>
    <w:sectPr w:rsidR="00DA487B" w:rsidRPr="00DA48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88E" w:rsidRDefault="0017388E" w:rsidP="00DA487B">
      <w:pPr>
        <w:spacing w:after="0" w:line="240" w:lineRule="auto"/>
      </w:pPr>
      <w:r>
        <w:separator/>
      </w:r>
    </w:p>
  </w:endnote>
  <w:endnote w:type="continuationSeparator" w:id="0">
    <w:p w:rsidR="0017388E" w:rsidRDefault="0017388E" w:rsidP="00DA4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88E" w:rsidRDefault="0017388E" w:rsidP="00DA487B">
      <w:pPr>
        <w:spacing w:after="0" w:line="240" w:lineRule="auto"/>
      </w:pPr>
      <w:r>
        <w:separator/>
      </w:r>
    </w:p>
  </w:footnote>
  <w:footnote w:type="continuationSeparator" w:id="0">
    <w:p w:rsidR="0017388E" w:rsidRDefault="0017388E" w:rsidP="00DA4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A1" w:rsidRDefault="00BB677A">
    <w:pPr>
      <w:pStyle w:val="Header"/>
    </w:pPr>
    <w:r>
      <w:rPr>
        <w:noProof/>
        <w:lang w:eastAsia="ja-JP"/>
      </w:rPr>
      <w:drawing>
        <wp:inline distT="0" distB="0" distL="0" distR="0" wp14:anchorId="642BE096" wp14:editId="22748AE2">
          <wp:extent cx="5731510" cy="612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1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7FB4"/>
    <w:multiLevelType w:val="hybridMultilevel"/>
    <w:tmpl w:val="E4366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6312ED"/>
    <w:multiLevelType w:val="hybridMultilevel"/>
    <w:tmpl w:val="870A01AC"/>
    <w:lvl w:ilvl="0" w:tplc="2FB6A5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B6007"/>
    <w:multiLevelType w:val="hybridMultilevel"/>
    <w:tmpl w:val="88F2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B5721"/>
    <w:multiLevelType w:val="hybridMultilevel"/>
    <w:tmpl w:val="ABA2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40511"/>
    <w:multiLevelType w:val="hybridMultilevel"/>
    <w:tmpl w:val="3CE44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2C3FCE"/>
    <w:multiLevelType w:val="hybridMultilevel"/>
    <w:tmpl w:val="28B87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B97D72"/>
    <w:multiLevelType w:val="hybridMultilevel"/>
    <w:tmpl w:val="B3EE5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97823"/>
    <w:multiLevelType w:val="hybridMultilevel"/>
    <w:tmpl w:val="4F723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302B00"/>
    <w:multiLevelType w:val="hybridMultilevel"/>
    <w:tmpl w:val="9C726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11ADB"/>
    <w:multiLevelType w:val="hybridMultilevel"/>
    <w:tmpl w:val="53D8E27E"/>
    <w:lvl w:ilvl="0" w:tplc="06B6B45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206AF0"/>
    <w:multiLevelType w:val="hybridMultilevel"/>
    <w:tmpl w:val="23D03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847068"/>
    <w:multiLevelType w:val="hybridMultilevel"/>
    <w:tmpl w:val="3C76E2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6D3020"/>
    <w:multiLevelType w:val="hybridMultilevel"/>
    <w:tmpl w:val="CD5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1B25E5"/>
    <w:multiLevelType w:val="hybridMultilevel"/>
    <w:tmpl w:val="F29E2EE0"/>
    <w:lvl w:ilvl="0" w:tplc="92449E0C">
      <w:start w:val="1"/>
      <w:numFmt w:val="decimal"/>
      <w:lvlText w:val="%1."/>
      <w:lvlJc w:val="left"/>
      <w:pPr>
        <w:ind w:left="720" w:hanging="360"/>
      </w:pPr>
    </w:lvl>
    <w:lvl w:ilvl="1" w:tplc="D95897DC">
      <w:start w:val="1"/>
      <w:numFmt w:val="decimal"/>
      <w:lvlText w:val="%2."/>
      <w:lvlJc w:val="left"/>
      <w:pPr>
        <w:ind w:left="1440" w:hanging="1080"/>
      </w:pPr>
    </w:lvl>
    <w:lvl w:ilvl="2" w:tplc="5EE04686">
      <w:start w:val="1"/>
      <w:numFmt w:val="decimal"/>
      <w:lvlText w:val="%3."/>
      <w:lvlJc w:val="left"/>
      <w:pPr>
        <w:ind w:left="2160" w:hanging="1980"/>
      </w:pPr>
    </w:lvl>
    <w:lvl w:ilvl="3" w:tplc="EA6CC56C">
      <w:start w:val="1"/>
      <w:numFmt w:val="decimal"/>
      <w:lvlText w:val="%4."/>
      <w:lvlJc w:val="left"/>
      <w:pPr>
        <w:ind w:left="2880" w:hanging="2520"/>
      </w:pPr>
    </w:lvl>
    <w:lvl w:ilvl="4" w:tplc="57EC5F3E">
      <w:start w:val="1"/>
      <w:numFmt w:val="decimal"/>
      <w:lvlText w:val="%5."/>
      <w:lvlJc w:val="left"/>
      <w:pPr>
        <w:ind w:left="3600" w:hanging="3240"/>
      </w:pPr>
    </w:lvl>
    <w:lvl w:ilvl="5" w:tplc="32EA9056">
      <w:start w:val="1"/>
      <w:numFmt w:val="decimal"/>
      <w:lvlText w:val="%6."/>
      <w:lvlJc w:val="left"/>
      <w:pPr>
        <w:ind w:left="4320" w:hanging="4140"/>
      </w:pPr>
    </w:lvl>
    <w:lvl w:ilvl="6" w:tplc="9FDC60E2">
      <w:start w:val="1"/>
      <w:numFmt w:val="decimal"/>
      <w:lvlText w:val="%7."/>
      <w:lvlJc w:val="left"/>
      <w:pPr>
        <w:ind w:left="5040" w:hanging="4680"/>
      </w:pPr>
    </w:lvl>
    <w:lvl w:ilvl="7" w:tplc="48AE9A78">
      <w:start w:val="1"/>
      <w:numFmt w:val="decimal"/>
      <w:lvlText w:val="%8."/>
      <w:lvlJc w:val="left"/>
      <w:pPr>
        <w:ind w:left="5760" w:hanging="5400"/>
      </w:pPr>
    </w:lvl>
    <w:lvl w:ilvl="8" w:tplc="838E7780">
      <w:start w:val="1"/>
      <w:numFmt w:val="decimal"/>
      <w:lvlText w:val="%9."/>
      <w:lvlJc w:val="left"/>
      <w:pPr>
        <w:ind w:left="6480" w:hanging="6300"/>
      </w:pPr>
    </w:lvl>
  </w:abstractNum>
  <w:abstractNum w:abstractNumId="14" w15:restartNumberingAfterBreak="0">
    <w:nsid w:val="51B71AF6"/>
    <w:multiLevelType w:val="hybridMultilevel"/>
    <w:tmpl w:val="15B89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A977AB"/>
    <w:multiLevelType w:val="hybridMultilevel"/>
    <w:tmpl w:val="3822F8F0"/>
    <w:lvl w:ilvl="0" w:tplc="2FB6A53A">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540F2"/>
    <w:multiLevelType w:val="hybridMultilevel"/>
    <w:tmpl w:val="6B588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F92F89"/>
    <w:multiLevelType w:val="hybridMultilevel"/>
    <w:tmpl w:val="AA1A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261C32"/>
    <w:multiLevelType w:val="hybridMultilevel"/>
    <w:tmpl w:val="D732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0269C"/>
    <w:multiLevelType w:val="hybridMultilevel"/>
    <w:tmpl w:val="74BA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774998"/>
    <w:multiLevelType w:val="multilevel"/>
    <w:tmpl w:val="45E2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0"/>
  </w:num>
  <w:num w:numId="5">
    <w:abstractNumId w:val="0"/>
  </w:num>
  <w:num w:numId="6">
    <w:abstractNumId w:val="16"/>
  </w:num>
  <w:num w:numId="7">
    <w:abstractNumId w:val="12"/>
  </w:num>
  <w:num w:numId="8">
    <w:abstractNumId w:val="11"/>
  </w:num>
  <w:num w:numId="9">
    <w:abstractNumId w:val="17"/>
  </w:num>
  <w:num w:numId="10">
    <w:abstractNumId w:val="9"/>
  </w:num>
  <w:num w:numId="11">
    <w:abstractNumId w:val="15"/>
  </w:num>
  <w:num w:numId="12">
    <w:abstractNumId w:val="13"/>
  </w:num>
  <w:num w:numId="13">
    <w:abstractNumId w:val="19"/>
  </w:num>
  <w:num w:numId="14">
    <w:abstractNumId w:val="5"/>
  </w:num>
  <w:num w:numId="15">
    <w:abstractNumId w:val="3"/>
  </w:num>
  <w:num w:numId="16">
    <w:abstractNumId w:val="18"/>
  </w:num>
  <w:num w:numId="17">
    <w:abstractNumId w:val="1"/>
  </w:num>
  <w:num w:numId="18">
    <w:abstractNumId w:val="20"/>
  </w:num>
  <w:num w:numId="19">
    <w:abstractNumId w:val="14"/>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648"/>
    <w:rsid w:val="00056AB3"/>
    <w:rsid w:val="00084F37"/>
    <w:rsid w:val="000A2648"/>
    <w:rsid w:val="0015522C"/>
    <w:rsid w:val="0017388E"/>
    <w:rsid w:val="001C6C4D"/>
    <w:rsid w:val="002B23D1"/>
    <w:rsid w:val="00327495"/>
    <w:rsid w:val="0053462E"/>
    <w:rsid w:val="00745014"/>
    <w:rsid w:val="007D4401"/>
    <w:rsid w:val="00884600"/>
    <w:rsid w:val="009741A7"/>
    <w:rsid w:val="009863A7"/>
    <w:rsid w:val="00A74F9C"/>
    <w:rsid w:val="00B64424"/>
    <w:rsid w:val="00B73184"/>
    <w:rsid w:val="00BB677A"/>
    <w:rsid w:val="00BE5E7F"/>
    <w:rsid w:val="00C03D74"/>
    <w:rsid w:val="00F25812"/>
    <w:rsid w:val="00F909D5"/>
    <w:rsid w:val="00FD3C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F2D3C"/>
  <w15:chartTrackingRefBased/>
  <w15:docId w15:val="{DDF9738E-305A-46F4-B1CD-7A84B5740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487B"/>
    <w:pPr>
      <w:keepNext/>
      <w:keepLines/>
      <w:spacing w:before="240" w:after="0"/>
      <w:outlineLvl w:val="0"/>
    </w:pPr>
    <w:rPr>
      <w:rFonts w:ascii="Calibri Light" w:eastAsiaTheme="majorEastAsia" w:hAnsiTheme="majorHAnsi" w:cstheme="majorBidi"/>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87B"/>
  </w:style>
  <w:style w:type="paragraph" w:styleId="Footer">
    <w:name w:val="footer"/>
    <w:basedOn w:val="Normal"/>
    <w:link w:val="FooterChar"/>
    <w:uiPriority w:val="99"/>
    <w:unhideWhenUsed/>
    <w:rsid w:val="00DA4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87B"/>
  </w:style>
  <w:style w:type="character" w:customStyle="1" w:styleId="Heading1Char">
    <w:name w:val="Heading 1 Char"/>
    <w:basedOn w:val="DefaultParagraphFont"/>
    <w:link w:val="Heading1"/>
    <w:uiPriority w:val="9"/>
    <w:rsid w:val="00DA487B"/>
    <w:rPr>
      <w:rFonts w:ascii="Calibri Light" w:eastAsiaTheme="majorEastAsia" w:hAnsiTheme="majorHAnsi" w:cstheme="majorBidi"/>
      <w:color w:val="2E74B5"/>
      <w:sz w:val="32"/>
      <w:szCs w:val="32"/>
    </w:rPr>
  </w:style>
  <w:style w:type="paragraph" w:styleId="Subtitle">
    <w:name w:val="Subtitle"/>
    <w:basedOn w:val="Normal"/>
    <w:next w:val="Normal"/>
    <w:link w:val="SubtitleChar"/>
    <w:uiPriority w:val="11"/>
    <w:qFormat/>
    <w:rsid w:val="00DA487B"/>
    <w:rPr>
      <w:rFonts w:eastAsiaTheme="minorEastAsia"/>
      <w:color w:val="5A5A5A"/>
      <w:spacing w:val="15"/>
    </w:rPr>
  </w:style>
  <w:style w:type="character" w:customStyle="1" w:styleId="SubtitleChar">
    <w:name w:val="Subtitle Char"/>
    <w:basedOn w:val="DefaultParagraphFont"/>
    <w:link w:val="Subtitle"/>
    <w:uiPriority w:val="11"/>
    <w:rsid w:val="00DA487B"/>
    <w:rPr>
      <w:rFonts w:eastAsiaTheme="minorEastAsia"/>
      <w:color w:val="5A5A5A"/>
      <w:spacing w:val="15"/>
    </w:rPr>
  </w:style>
  <w:style w:type="paragraph" w:styleId="ListParagraph">
    <w:name w:val="List Paragraph"/>
    <w:basedOn w:val="Normal"/>
    <w:uiPriority w:val="34"/>
    <w:qFormat/>
    <w:rsid w:val="00DA487B"/>
    <w:pPr>
      <w:ind w:left="720"/>
      <w:contextualSpacing/>
    </w:pPr>
  </w:style>
  <w:style w:type="character" w:styleId="Hyperlink">
    <w:name w:val="Hyperlink"/>
    <w:basedOn w:val="DefaultParagraphFont"/>
    <w:uiPriority w:val="99"/>
    <w:unhideWhenUsed/>
    <w:rsid w:val="00DA487B"/>
    <w:rPr>
      <w:color w:val="0563C1"/>
      <w:u w:val="single"/>
    </w:rPr>
  </w:style>
  <w:style w:type="table" w:styleId="TableGrid">
    <w:name w:val="Table Grid"/>
    <w:basedOn w:val="TableNormal"/>
    <w:uiPriority w:val="39"/>
    <w:rsid w:val="00DA4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pPr>
      <w:spacing w:after="300"/>
    </w:pPr>
    <w:rPr>
      <w:color w:val="17365D"/>
      <w:sz w:val="52"/>
    </w:rPr>
  </w:style>
  <w:style w:type="paragraph" w:styleId="Date">
    <w:name w:val="Date"/>
    <w:basedOn w:val="Normal"/>
    <w:next w:val="Normal"/>
    <w:link w:val="DateChar"/>
    <w:uiPriority w:val="99"/>
    <w:semiHidden/>
    <w:unhideWhenUsed/>
    <w:rsid w:val="00A74F9C"/>
  </w:style>
  <w:style w:type="character" w:customStyle="1" w:styleId="DateChar">
    <w:name w:val="Date Char"/>
    <w:basedOn w:val="DefaultParagraphFont"/>
    <w:link w:val="Date"/>
    <w:uiPriority w:val="99"/>
    <w:semiHidden/>
    <w:rsid w:val="00A74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87026">
      <w:bodyDiv w:val="1"/>
      <w:marLeft w:val="0"/>
      <w:marRight w:val="0"/>
      <w:marTop w:val="0"/>
      <w:marBottom w:val="0"/>
      <w:divBdr>
        <w:top w:val="none" w:sz="0" w:space="0" w:color="auto"/>
        <w:left w:val="none" w:sz="0" w:space="0" w:color="auto"/>
        <w:bottom w:val="none" w:sz="0" w:space="0" w:color="auto"/>
        <w:right w:val="none" w:sz="0" w:space="0" w:color="auto"/>
      </w:divBdr>
    </w:div>
    <w:div w:id="113713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36FB888E8E649BA292E9FDBBF7A98" ma:contentTypeVersion="13" ma:contentTypeDescription="Create a new document." ma:contentTypeScope="" ma:versionID="a83f3753c7e12889555cc59281523341">
  <xsd:schema xmlns:xsd="http://www.w3.org/2001/XMLSchema" xmlns:xs="http://www.w3.org/2001/XMLSchema" xmlns:p="http://schemas.microsoft.com/office/2006/metadata/properties" xmlns:ns2="65ef99f9-7e0a-4963-9f99-9796f19d0350" xmlns:ns3="c4afce41-7729-4807-8fa4-2089ea5b3984" targetNamespace="http://schemas.microsoft.com/office/2006/metadata/properties" ma:root="true" ma:fieldsID="e88ce90c91541530e82cc3c174affb40" ns2:_="" ns3:_="">
    <xsd:import namespace="65ef99f9-7e0a-4963-9f99-9796f19d0350"/>
    <xsd:import namespace="c4afce41-7729-4807-8fa4-2089ea5b398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ef99f9-7e0a-4963-9f99-9796f19d03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afce41-7729-4807-8fa4-2089ea5b398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4afce41-7729-4807-8fa4-2089ea5b3984" xsi:nil="true"/>
  </documentManagement>
</p:properties>
</file>

<file path=customXml/itemProps1.xml><?xml version="1.0" encoding="utf-8"?>
<ds:datastoreItem xmlns:ds="http://schemas.openxmlformats.org/officeDocument/2006/customXml" ds:itemID="{D976D70B-E76B-4898-8F6E-06C6E1B1C74E}"/>
</file>

<file path=customXml/itemProps2.xml><?xml version="1.0" encoding="utf-8"?>
<ds:datastoreItem xmlns:ds="http://schemas.openxmlformats.org/officeDocument/2006/customXml" ds:itemID="{B31AAE5B-1A1E-40D8-956C-E00A53714B42}"/>
</file>

<file path=customXml/itemProps3.xml><?xml version="1.0" encoding="utf-8"?>
<ds:datastoreItem xmlns:ds="http://schemas.openxmlformats.org/officeDocument/2006/customXml" ds:itemID="{4BEDD742-002C-41FB-9460-1EABB9007A82}"/>
</file>

<file path=docProps/app.xml><?xml version="1.0" encoding="utf-8"?>
<Properties xmlns="http://schemas.openxmlformats.org/officeDocument/2006/extended-properties" xmlns:vt="http://schemas.openxmlformats.org/officeDocument/2006/docPropsVTypes">
  <Template>Normal</Template>
  <TotalTime>304</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Portsmouth</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Barratt</dc:creator>
  <cp:keywords/>
  <dc:description/>
  <cp:lastModifiedBy>Lauren Smith-Birch</cp:lastModifiedBy>
  <cp:revision>4</cp:revision>
  <dcterms:created xsi:type="dcterms:W3CDTF">2021-02-05T09:32:00Z</dcterms:created>
  <dcterms:modified xsi:type="dcterms:W3CDTF">2021-02-11T11:16:00Z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0x010100CB336FB888E8E649BA292E9FDBBF7A98</vt:lpwstr>
  </property>
</Properties>
</file>